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62" w:rsidRDefault="008C70EE" w:rsidP="009E2353">
      <w:pPr>
        <w:rPr>
          <w:noProof/>
          <w:lang w:eastAsia="it-IT"/>
        </w:rPr>
      </w:pPr>
      <w:r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101E" wp14:editId="45323254">
                <wp:simplePos x="0" y="0"/>
                <wp:positionH relativeFrom="column">
                  <wp:posOffset>2714625</wp:posOffset>
                </wp:positionH>
                <wp:positionV relativeFrom="paragraph">
                  <wp:posOffset>113665</wp:posOffset>
                </wp:positionV>
                <wp:extent cx="4257675" cy="914400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A7" w:rsidRPr="004F53AB" w:rsidRDefault="0052195B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4F53AB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LANGHE DOC FREISA</w:t>
                            </w:r>
                          </w:p>
                          <w:p w:rsidR="000457B0" w:rsidRPr="00DF20BF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Freisa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D43BC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FB6EEF">
                              <w:rPr>
                                <w:rFonts w:asciiTheme="majorHAnsi" w:hAnsiTheme="majorHAnsi"/>
                              </w:rPr>
                              <w:t xml:space="preserve">colline </w:t>
                            </w:r>
                            <w:r w:rsidR="00405B24">
                              <w:rPr>
                                <w:rFonts w:asciiTheme="majorHAnsi" w:hAnsiTheme="majorHAnsi"/>
                              </w:rPr>
                              <w:t>dell’albese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Suolo:</w:t>
                            </w:r>
                            <w:r w:rsidR="003314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="006416C5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argilloso-calcareo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Coltivazione del vigneto</w:t>
                            </w: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: </w:t>
                            </w:r>
                            <w:r w:rsidR="00BD682D" w:rsidRPr="00BD682D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contro</w:t>
                            </w:r>
                            <w:r w:rsidRPr="00BD682D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potatura a Guyot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D43BCE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="00225CAE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prima decade di</w:t>
                            </w: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o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ttobre</w:t>
                            </w:r>
                          </w:p>
                          <w:p w:rsidR="00DF20BF" w:rsidRPr="00DF20BF" w:rsidRDefault="00DF20BF" w:rsidP="000457B0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2E04FA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90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q/ha di uva</w:t>
                            </w:r>
                          </w:p>
                          <w:p w:rsidR="000457B0" w:rsidRPr="00DF20BF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DF20BF" w:rsidRPr="00E26FDA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Vinificazione: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diraspapigiatura, fermentazione alcolica</w:t>
                            </w:r>
                            <w:r w:rsidR="00BD682D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e macerazione di 4/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5 giorni a temperatura controllata (24-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26°C) con rimontaggi frequenti</w:t>
                            </w:r>
                            <w:r w:rsidR="00405B24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DF20BF" w:rsidRPr="00E26FDA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completa</w:t>
                            </w:r>
                          </w:p>
                          <w:p w:rsidR="000457B0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 w:rsidR="00C378A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in vasca</w:t>
                            </w:r>
                            <w:r w:rsidR="00A42726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per 3/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4 mesi e 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imbottigliamento</w:t>
                            </w:r>
                          </w:p>
                          <w:p w:rsidR="00E26FDA" w:rsidRPr="00D43BCE" w:rsidRDefault="00E26FDA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0457B0" w:rsidRPr="00E26FDA" w:rsidRDefault="005706CA" w:rsidP="00E26FDA">
                            <w:pPr>
                              <w:spacing w:after="0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DF20BF" w:rsidRPr="00E26FDA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D43BCE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11,00% vol.</w:t>
                            </w:r>
                          </w:p>
                          <w:p w:rsidR="00DF20BF" w:rsidRPr="00E26FDA" w:rsidRDefault="000457B0" w:rsidP="000457B0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0457B0" w:rsidRDefault="000457B0" w:rsidP="00DF20BF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D43BCE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 w:rsidR="00DF20BF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19 g/l</w:t>
                            </w:r>
                          </w:p>
                          <w:p w:rsidR="00DF20BF" w:rsidRPr="00DF20BF" w:rsidRDefault="00DF20BF" w:rsidP="00DF20BF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0457B0" w:rsidRPr="00D43BCE" w:rsidRDefault="000457B0" w:rsidP="00DF20BF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D43BCE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7B6E8BD" wp14:editId="4F7C697D">
                                  <wp:extent cx="4065905" cy="2439670"/>
                                  <wp:effectExtent l="0" t="0" r="0" b="0"/>
                                  <wp:docPr id="5" name="Grafico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0BF" w:rsidRPr="00DF20BF" w:rsidRDefault="00DF20BF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405B24" w:rsidRDefault="00405B24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405B24" w:rsidRDefault="00405B24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F20BF" w:rsidRDefault="000457B0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43BCE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Temperatura di degustazione: </w:t>
                            </w:r>
                            <w:r w:rsidR="00DF20BF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16/18 gradi</w:t>
                            </w:r>
                          </w:p>
                          <w:p w:rsidR="00DF20BF" w:rsidRPr="00DF20BF" w:rsidRDefault="00DF20BF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405B24" w:rsidRDefault="000457B0" w:rsidP="00405B2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Conservazione: </w:t>
                            </w:r>
                            <w:r w:rsidR="00BD682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vino di pronta beva</w:t>
                            </w:r>
                            <w:r w:rsidR="00405B2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; </w:t>
                            </w:r>
                            <w:r w:rsidR="00405B24" w:rsidRPr="00C378A2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Conservare le bottiglie in ambiente asciutto, fresco, buio e a temperatura costante.</w:t>
                            </w:r>
                          </w:p>
                          <w:p w:rsidR="004F53AB" w:rsidRPr="000457B0" w:rsidRDefault="000457B0" w:rsidP="00DF20BF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43BCE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Abbinamento cibo/vino</w:t>
                            </w:r>
                            <w:r w:rsidRPr="00BD682D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D682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primi piatti, carni rosse e bianche anche alla griglia</w:t>
                            </w:r>
                            <w:r w:rsidR="00BD682D" w:rsidRPr="00BD682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salumi, formaggi morbidi e poco stagionati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101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3.75pt;margin-top:8.95pt;width:335.2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" stroked="f">
                <v:textbox>
                  <w:txbxContent>
                    <w:p w:rsidR="008E26A7" w:rsidRPr="004F53AB" w:rsidRDefault="0052195B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4F53AB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LANGHE DOC FREISA</w:t>
                      </w:r>
                    </w:p>
                    <w:p w:rsidR="000457B0" w:rsidRPr="00DF20BF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Freisa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D43BC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B6EEF">
                        <w:rPr>
                          <w:rFonts w:asciiTheme="majorHAnsi" w:hAnsiTheme="majorHAnsi"/>
                        </w:rPr>
                        <w:t xml:space="preserve">colline </w:t>
                      </w:r>
                      <w:r w:rsidR="00405B24">
                        <w:rPr>
                          <w:rFonts w:asciiTheme="majorHAnsi" w:hAnsiTheme="majorHAnsi"/>
                        </w:rPr>
                        <w:t>dell’albese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Suolo:</w:t>
                      </w:r>
                      <w:r w:rsidR="003314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="006416C5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argilloso-calcareo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Coltivazione del vigneto</w:t>
                      </w: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: </w:t>
                      </w:r>
                      <w:r w:rsidR="00BD682D" w:rsidRPr="00BD682D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contro</w:t>
                      </w:r>
                      <w:r w:rsidRPr="00BD682D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potatura a Guyot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D43BCE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="00225CAE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prima decade di</w:t>
                      </w: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o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ttobre</w:t>
                      </w:r>
                    </w:p>
                    <w:p w:rsidR="00DF20BF" w:rsidRPr="00DF20BF" w:rsidRDefault="00DF20BF" w:rsidP="000457B0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2E04FA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90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q/ha di uva</w:t>
                      </w:r>
                    </w:p>
                    <w:p w:rsidR="000457B0" w:rsidRPr="00DF20BF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DF20BF" w:rsidRPr="00E26FDA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Vinificazione: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diraspapigiatura, fermentazione alcolica</w:t>
                      </w:r>
                      <w:r w:rsidR="00BD682D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e macerazione di 4/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5 giorni a temperatura controllata (24-</w:t>
                      </w:r>
                      <w:r w:rsidR="00DF20BF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26°C) con rimontaggi frequenti</w:t>
                      </w:r>
                      <w:r w:rsidR="00405B24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DF20BF" w:rsidRPr="00E26FDA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completa</w:t>
                      </w:r>
                    </w:p>
                    <w:p w:rsidR="000457B0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 w:rsidR="00C378A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in vasca</w:t>
                      </w:r>
                      <w:r w:rsidR="00A42726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per 3/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4 mesi e 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imbottigliamento</w:t>
                      </w:r>
                    </w:p>
                    <w:p w:rsidR="00E26FDA" w:rsidRPr="00D43BCE" w:rsidRDefault="00E26FDA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0457B0" w:rsidRPr="00E26FDA" w:rsidRDefault="005706CA" w:rsidP="00E26FDA">
                      <w:pPr>
                        <w:spacing w:after="0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DF20BF" w:rsidRPr="00E26FDA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D43BCE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11,00% vol.</w:t>
                      </w:r>
                    </w:p>
                    <w:p w:rsidR="00DF20BF" w:rsidRPr="00E26FDA" w:rsidRDefault="000457B0" w:rsidP="000457B0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 w:rsidR="00DF20BF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0457B0" w:rsidRDefault="000457B0" w:rsidP="00DF20BF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D43BCE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 w:rsidR="00DF20BF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19 g/l</w:t>
                      </w:r>
                    </w:p>
                    <w:p w:rsidR="00DF20BF" w:rsidRPr="00DF20BF" w:rsidRDefault="00DF20BF" w:rsidP="00DF20BF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0457B0" w:rsidRPr="00D43BCE" w:rsidRDefault="000457B0" w:rsidP="00DF20BF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</w:rPr>
                      </w:pPr>
                      <w:r w:rsidRPr="00D43BCE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7B6E8BD" wp14:editId="4F7C697D">
                            <wp:extent cx="4065905" cy="2439670"/>
                            <wp:effectExtent l="0" t="0" r="0" b="0"/>
                            <wp:docPr id="5" name="Grafico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DF20BF" w:rsidRPr="00DF20BF" w:rsidRDefault="00DF20BF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405B24" w:rsidRDefault="00405B24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405B24" w:rsidRDefault="00405B24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DF20BF" w:rsidRDefault="000457B0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43BCE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Temperatura di degustazione: </w:t>
                      </w:r>
                      <w:r w:rsidR="00DF20BF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16/18 gradi</w:t>
                      </w:r>
                    </w:p>
                    <w:p w:rsidR="00DF20BF" w:rsidRPr="00DF20BF" w:rsidRDefault="00DF20BF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405B24" w:rsidRDefault="000457B0" w:rsidP="00405B2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Conservazione: </w:t>
                      </w:r>
                      <w:r w:rsidR="00BD682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vino di pronta beva</w:t>
                      </w:r>
                      <w:r w:rsidR="00405B2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; </w:t>
                      </w:r>
                      <w:r w:rsidR="00405B24" w:rsidRPr="00C378A2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Conservare le bottiglie in ambiente asciutto, fresco, buio e a temperatura costante.</w:t>
                      </w:r>
                    </w:p>
                    <w:p w:rsidR="004F53AB" w:rsidRPr="000457B0" w:rsidRDefault="000457B0" w:rsidP="00DF20BF">
                      <w:pPr>
                        <w:pStyle w:val="NormaleWeb"/>
                        <w:spacing w:before="0" w:beforeAutospacing="0" w:after="0" w:afterAutospacing="0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43BCE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Abbinamento cibo/vino</w:t>
                      </w:r>
                      <w:r w:rsidRPr="00BD682D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BD682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primi piatti, carni rosse e bianche anche alla griglia</w:t>
                      </w:r>
                      <w:r w:rsidR="00BD682D" w:rsidRPr="00BD682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salumi, formaggi morbidi e poco stagionati</w:t>
                      </w:r>
                    </w:p>
                  </w:txbxContent>
                </v:textbox>
              </v:shape>
            </w:pict>
          </mc:Fallback>
        </mc:AlternateContent>
      </w:r>
    </w:p>
    <w:p w:rsidR="008E26A7" w:rsidRPr="00A548FB" w:rsidRDefault="00D72862" w:rsidP="00A548FB">
      <w:pPr>
        <w:rPr>
          <w:rFonts w:ascii="Times New Roman" w:hAnsi="Times New Roman" w:cs="Times New Roman"/>
          <w:b/>
        </w:rPr>
      </w:pPr>
      <w:r w:rsidRPr="00D72862">
        <w:rPr>
          <w:noProof/>
          <w:lang w:eastAsia="it-IT"/>
        </w:rPr>
        <w:drawing>
          <wp:inline distT="0" distB="0" distL="0" distR="0">
            <wp:extent cx="2324100" cy="8782050"/>
            <wp:effectExtent l="0" t="0" r="0" b="0"/>
            <wp:docPr id="2" name="Immagine 2" descr="C:\Users\Soci\AppData\Local\Microsoft\Windows\Temporary Internet Files\Content.Outlook\GQAKHG3I\LANGHE FRE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\AppData\Local\Microsoft\Windows\Temporary Internet Files\Content.Outlook\GQAKHG3I\LANGHE FREI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6A7" w:rsidRPr="00A548FB" w:rsidSect="004F53AB">
      <w:headerReference w:type="default" r:id="rId11"/>
      <w:pgSz w:w="11906" w:h="16838"/>
      <w:pgMar w:top="720" w:right="720" w:bottom="720" w:left="72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69" w:rsidRDefault="00380869" w:rsidP="00762857">
      <w:pPr>
        <w:spacing w:after="0" w:line="240" w:lineRule="auto"/>
      </w:pPr>
      <w:r>
        <w:separator/>
      </w:r>
    </w:p>
  </w:endnote>
  <w:endnote w:type="continuationSeparator" w:id="0">
    <w:p w:rsidR="00380869" w:rsidRDefault="00380869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69" w:rsidRDefault="00380869" w:rsidP="00762857">
      <w:pPr>
        <w:spacing w:after="0" w:line="240" w:lineRule="auto"/>
      </w:pPr>
      <w:r>
        <w:separator/>
      </w:r>
    </w:p>
  </w:footnote>
  <w:footnote w:type="continuationSeparator" w:id="0">
    <w:p w:rsidR="00380869" w:rsidRDefault="00380869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0" w:type="pct"/>
      <w:tblInd w:w="-51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37"/>
    </w:tblGrid>
    <w:tr w:rsidR="004F53AB" w:rsidTr="004F53AB">
      <w:trPr>
        <w:trHeight w:val="281"/>
      </w:trPr>
      <w:tc>
        <w:tcPr>
          <w:tcW w:w="11637" w:type="dxa"/>
        </w:tcPr>
        <w:p w:rsidR="004F53AB" w:rsidRDefault="00255A67" w:rsidP="004F53AB">
          <w:pPr>
            <w:pStyle w:val="Intestazion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it-IT"/>
            </w:rPr>
            <w:drawing>
              <wp:inline distT="0" distB="0" distL="0" distR="0" wp14:anchorId="53BAD006" wp14:editId="40CB4754">
                <wp:extent cx="3455260" cy="657225"/>
                <wp:effectExtent l="0" t="0" r="0" b="0"/>
                <wp:docPr id="8" name="Immagine 8" descr="R:\Oderda\loghi\logo-tdb-mai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:\Oderda\loghi\logo-tdb-mai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96111" cy="6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62857" w:rsidRDefault="00762857">
    <w:pPr>
      <w:pStyle w:val="Intestazione"/>
    </w:pPr>
    <w:r>
      <w:rPr>
        <w:noProof/>
        <w:lang w:eastAsia="it-IT"/>
      </w:rPr>
      <w:drawing>
        <wp:inline distT="0" distB="0" distL="0" distR="0" wp14:anchorId="062AF891" wp14:editId="398E8EB2">
          <wp:extent cx="1761259" cy="5331379"/>
          <wp:effectExtent l="0" t="0" r="0" b="3175"/>
          <wp:docPr id="1026" name="Picture 2" descr="http://www.terredelbarolo.com/modules/coreCatalog/products/global/BAR_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terredelbarolo.com/modules/coreCatalog/products/global/BAR_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53313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31BF5"/>
    <w:rsid w:val="000457B0"/>
    <w:rsid w:val="00084C2D"/>
    <w:rsid w:val="000D4456"/>
    <w:rsid w:val="000E3B34"/>
    <w:rsid w:val="001171D8"/>
    <w:rsid w:val="001A06D1"/>
    <w:rsid w:val="00225CAE"/>
    <w:rsid w:val="00255A67"/>
    <w:rsid w:val="003314CE"/>
    <w:rsid w:val="00332170"/>
    <w:rsid w:val="003339D5"/>
    <w:rsid w:val="00376BC1"/>
    <w:rsid w:val="00380869"/>
    <w:rsid w:val="00381146"/>
    <w:rsid w:val="00405B24"/>
    <w:rsid w:val="004B68E1"/>
    <w:rsid w:val="004F53AB"/>
    <w:rsid w:val="0052195B"/>
    <w:rsid w:val="005518A2"/>
    <w:rsid w:val="005706CA"/>
    <w:rsid w:val="005F5046"/>
    <w:rsid w:val="00613C43"/>
    <w:rsid w:val="00621BD9"/>
    <w:rsid w:val="006416C5"/>
    <w:rsid w:val="006954DD"/>
    <w:rsid w:val="00762857"/>
    <w:rsid w:val="007768AF"/>
    <w:rsid w:val="007A1700"/>
    <w:rsid w:val="007A6956"/>
    <w:rsid w:val="007C28E0"/>
    <w:rsid w:val="00873DE2"/>
    <w:rsid w:val="008C70EE"/>
    <w:rsid w:val="008E26A7"/>
    <w:rsid w:val="009620AB"/>
    <w:rsid w:val="009E2353"/>
    <w:rsid w:val="009F3475"/>
    <w:rsid w:val="00A42726"/>
    <w:rsid w:val="00A548FB"/>
    <w:rsid w:val="00AE3F73"/>
    <w:rsid w:val="00B113FD"/>
    <w:rsid w:val="00B1523F"/>
    <w:rsid w:val="00B8308E"/>
    <w:rsid w:val="00BD682D"/>
    <w:rsid w:val="00C378A2"/>
    <w:rsid w:val="00C43BD9"/>
    <w:rsid w:val="00D02AD5"/>
    <w:rsid w:val="00D72862"/>
    <w:rsid w:val="00D76DFB"/>
    <w:rsid w:val="00DA25B0"/>
    <w:rsid w:val="00DF20BF"/>
    <w:rsid w:val="00E26FDA"/>
    <w:rsid w:val="00E8192C"/>
    <w:rsid w:val="00E84151"/>
    <w:rsid w:val="00F13296"/>
    <w:rsid w:val="00F64C54"/>
    <w:rsid w:val="00FB6EEF"/>
    <w:rsid w:val="00FE2153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84B0C-0A46-4A66-962C-B592EE58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ffice\SISTEMA%20GESTIONE%20QUALITA'%20ED.%203\Schede%20tecniche-new\GRAFICI%20ORGANOLETT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TERRE'!$B$172:$B$181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TERRE'!$C$172:$C$181</c:f>
              <c:numCache>
                <c:formatCode>General</c:formatCode>
                <c:ptCount val="10"/>
                <c:pt idx="0">
                  <c:v>4.5</c:v>
                </c:pt>
                <c:pt idx="1">
                  <c:v>4.0999999999999996</c:v>
                </c:pt>
                <c:pt idx="2">
                  <c:v>4</c:v>
                </c:pt>
                <c:pt idx="3">
                  <c:v>0.8</c:v>
                </c:pt>
                <c:pt idx="4">
                  <c:v>0.6</c:v>
                </c:pt>
                <c:pt idx="5">
                  <c:v>2.5</c:v>
                </c:pt>
                <c:pt idx="6">
                  <c:v>3.4</c:v>
                </c:pt>
                <c:pt idx="7">
                  <c:v>3</c:v>
                </c:pt>
                <c:pt idx="8">
                  <c:v>1.8</c:v>
                </c:pt>
                <c:pt idx="9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6841792"/>
        <c:axId val="386841008"/>
      </c:radarChart>
      <c:catAx>
        <c:axId val="3868417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it-IT"/>
          </a:p>
        </c:txPr>
        <c:crossAx val="386841008"/>
        <c:crosses val="autoZero"/>
        <c:auto val="1"/>
        <c:lblAlgn val="ctr"/>
        <c:lblOffset val="100"/>
        <c:noMultiLvlLbl val="0"/>
      </c:catAx>
      <c:valAx>
        <c:axId val="38684100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684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DC423-69DE-452A-87DF-D2530A40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40</cp:revision>
  <dcterms:created xsi:type="dcterms:W3CDTF">2016-04-06T13:00:00Z</dcterms:created>
  <dcterms:modified xsi:type="dcterms:W3CDTF">2018-01-18T10:51:00Z</dcterms:modified>
</cp:coreProperties>
</file>